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4FD0AA55"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xml:space="preserve">; therefore, we do not believe that 11BHSD1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11BHSD2 is able to metabolize dexamethasone into a non-active form (Best, Nelson, and Walker</w:t>
      </w:r>
      <w:proofErr w:type="gramStart"/>
      <w:r w:rsidRPr="004E3631">
        <w:rPr>
          <w:color w:val="31849B" w:themeColor="accent5" w:themeShade="BF"/>
        </w:rPr>
        <w:t>,1997</w:t>
      </w:r>
      <w:proofErr w:type="gramEnd"/>
      <w:r w:rsidRPr="004E3631">
        <w:rPr>
          <w:color w:val="31849B" w:themeColor="accent5" w:themeShade="BF"/>
        </w:rPr>
        <w:t xml:space="preserve">-JoE). This being the case, we are seeing even less of an effect as this would indicate there being decreased activity of GC locally, though we did not measure 11BHSD2 transcripts. Also, the administration of dexamethasone does not mean that there is no endogenous GC signaling occurring, which would be acted on by 11BHSD1 locally and transcripts of this enzyme were highly </w:t>
      </w:r>
      <w:proofErr w:type="spellStart"/>
      <w:r w:rsidRPr="004E3631">
        <w:rPr>
          <w:color w:val="31849B" w:themeColor="accent5" w:themeShade="BF"/>
        </w:rPr>
        <w:t>upregulated</w:t>
      </w:r>
      <w:proofErr w:type="spellEnd"/>
      <w:r w:rsidRPr="004E3631">
        <w:rPr>
          <w:color w:val="31849B" w:themeColor="accent5" w:themeShade="BF"/>
        </w:rPr>
        <w:t xml:space="preserve">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P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w:t>
      </w:r>
      <w:commentRangeStart w:id="1"/>
      <w:r w:rsidR="005D3C08" w:rsidRPr="002734E4">
        <w:rPr>
          <w:rFonts w:ascii="Times New Roman" w:eastAsia="Times New Roman" w:hAnsi="Times New Roman" w:cs="Times New Roman"/>
          <w:color w:val="212121"/>
          <w:sz w:val="22"/>
          <w:shd w:val="clear" w:color="auto" w:fill="FFFFFF"/>
        </w:rPr>
        <w:t xml:space="preserve">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should be addressed in this section and in the results. If not, a statistical model that corrects for age should be applied and </w:t>
      </w:r>
      <w:commentRangeStart w:id="2"/>
      <w:r w:rsidR="005D3C08" w:rsidRPr="002734E4">
        <w:rPr>
          <w:rFonts w:ascii="Times New Roman" w:eastAsia="Times New Roman" w:hAnsi="Times New Roman" w:cs="Times New Roman"/>
          <w:color w:val="212121"/>
          <w:sz w:val="22"/>
          <w:shd w:val="clear" w:color="auto" w:fill="FFFFFF"/>
        </w:rPr>
        <w:t>reported</w:t>
      </w:r>
      <w:commentRangeEnd w:id="2"/>
      <w:r w:rsidR="0071259A">
        <w:rPr>
          <w:rStyle w:val="CommentReference"/>
        </w:rPr>
        <w:commentReference w:id="2"/>
      </w:r>
      <w:r w:rsidR="005D3C08" w:rsidRPr="002734E4">
        <w:rPr>
          <w:rFonts w:ascii="Times New Roman" w:eastAsia="Times New Roman" w:hAnsi="Times New Roman" w:cs="Times New Roman"/>
          <w:color w:val="212121"/>
          <w:sz w:val="22"/>
          <w:shd w:val="clear" w:color="auto" w:fill="FFFFFF"/>
        </w:rPr>
        <w:t>.</w:t>
      </w:r>
      <w:commentRangeEnd w:id="1"/>
      <w:r w:rsidRPr="002734E4">
        <w:rPr>
          <w:rStyle w:val="CommentReference"/>
          <w:rFonts w:ascii="Times New Roman" w:hAnsi="Times New Roman" w:cs="Times New Roman"/>
          <w:sz w:val="22"/>
          <w:szCs w:val="24"/>
        </w:rPr>
        <w:commentReference w:id="1"/>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77777777"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 xml:space="preserve">e ranges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(40, 60], and (60, 100]. Although,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&lt;=60.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7">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77777777"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Our current 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detected 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 (mean age 59.3 years) (PMID: 23889843). The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36F100DC"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DD2644">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"previouslyFormattedCitation" : "[1]"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2734E4" w:rsidRPr="002734E4">
        <w:rPr>
          <w:rFonts w:ascii="Times New Roman" w:eastAsia="Times New Roman" w:hAnsi="Times New Roman" w:cs="Times New Roman"/>
          <w:b/>
          <w:noProof/>
          <w:color w:val="000000"/>
          <w:sz w:val="22"/>
        </w:rPr>
        <w:t>[1]</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671AF7AA"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they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commentRangeStart w:id="4"/>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w:t>
      </w:r>
      <w:commentRangeEnd w:id="4"/>
      <w:r w:rsidR="003619DC">
        <w:rPr>
          <w:rStyle w:val="CommentReference"/>
        </w:rPr>
        <w:commentReference w:id="4"/>
      </w:r>
      <w:r w:rsidR="008A2A23">
        <w:rPr>
          <w:rFonts w:ascii="Times New Roman" w:eastAsia="Times New Roman" w:hAnsi="Times New Roman" w:cs="Times New Roman"/>
          <w:b/>
          <w:color w:val="212121"/>
          <w:sz w:val="22"/>
          <w:shd w:val="clear" w:color="auto" w:fill="FFFFFF"/>
        </w:rPr>
        <w:t>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19FA6058"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DD264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DD2644" w:rsidRPr="00DD2644">
        <w:rPr>
          <w:rFonts w:ascii="Times New Roman" w:eastAsia="Times New Roman" w:hAnsi="Times New Roman" w:cs="Times New Roman"/>
          <w:noProof/>
          <w:color w:val="FF0000"/>
          <w:sz w:val="22"/>
        </w:rPr>
        <w:t>[1]</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5"/>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5"/>
      <w:r w:rsidR="00636E17">
        <w:rPr>
          <w:rStyle w:val="CommentReference"/>
        </w:rPr>
        <w:commentReference w:id="5"/>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4C5AAC10"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useful as 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1CA5FF60" w:rsidR="0081738C" w:rsidRPr="006B66DA" w:rsidRDefault="0081738C" w:rsidP="0081738C">
      <w:pPr>
        <w:ind w:left="720"/>
        <w:rPr>
          <w:rFonts w:ascii="Times New Roman" w:eastAsia="Times New Roman" w:hAnsi="Times New Roman" w:cs="Times New Roman"/>
          <w:b/>
          <w:color w:val="31849B" w:themeColor="accent5" w:themeShade="BF"/>
          <w:sz w:val="22"/>
          <w:shd w:val="clear" w:color="auto" w:fill="FFFFFF"/>
        </w:rPr>
      </w:pPr>
      <w:commentRangeStart w:id="6"/>
      <w:r w:rsidRPr="0081738C">
        <w:rPr>
          <w:rFonts w:ascii="Times New Roman" w:eastAsia="Times New Roman" w:hAnsi="Times New Roman" w:cs="Times New Roman"/>
          <w:b/>
          <w:color w:val="FF0000"/>
          <w:sz w:val="22"/>
          <w:shd w:val="clear" w:color="auto" w:fill="FFFFFF"/>
        </w:rPr>
        <w:t>Broadly, these changes reflect a shift towards more rapid conversion of glucose throu</w:t>
      </w:r>
      <w:r w:rsidR="000E3BBD">
        <w:rPr>
          <w:rFonts w:ascii="Times New Roman" w:eastAsia="Times New Roman" w:hAnsi="Times New Roman" w:cs="Times New Roman"/>
          <w:b/>
          <w:color w:val="FF0000"/>
          <w:sz w:val="22"/>
          <w:shd w:val="clear" w:color="auto" w:fill="FFFFFF"/>
        </w:rPr>
        <w:t xml:space="preserve">gh glycolysis and the TCA cycle, </w:t>
      </w:r>
      <w:r w:rsidRPr="0081738C">
        <w:rPr>
          <w:rFonts w:ascii="Times New Roman" w:eastAsia="Times New Roman" w:hAnsi="Times New Roman" w:cs="Times New Roman"/>
          <w:b/>
          <w:color w:val="FF0000"/>
          <w:sz w:val="22"/>
          <w:shd w:val="clear" w:color="auto" w:fill="FFFFFF"/>
        </w:rPr>
        <w:t xml:space="preserve">and shifting of glucose and protein metabolites towards </w:t>
      </w:r>
      <w:proofErr w:type="spellStart"/>
      <w:r w:rsidRPr="0081738C">
        <w:rPr>
          <w:rFonts w:ascii="Times New Roman" w:eastAsia="Times New Roman" w:hAnsi="Times New Roman" w:cs="Times New Roman"/>
          <w:b/>
          <w:color w:val="FF0000"/>
          <w:sz w:val="22"/>
          <w:shd w:val="clear" w:color="auto" w:fill="FFFFFF"/>
        </w:rPr>
        <w:t>lipogenic</w:t>
      </w:r>
      <w:proofErr w:type="spellEnd"/>
      <w:r w:rsidRPr="0081738C">
        <w:rPr>
          <w:rFonts w:ascii="Times New Roman" w:eastAsia="Times New Roman" w:hAnsi="Times New Roman" w:cs="Times New Roman"/>
          <w:b/>
          <w:color w:val="FF0000"/>
          <w:sz w:val="22"/>
          <w:shd w:val="clear" w:color="auto" w:fill="FFFFFF"/>
        </w:rPr>
        <w:t xml:space="preserve"> pathways in adipose tissue.</w:t>
      </w:r>
      <w:commentRangeEnd w:id="6"/>
      <w:r>
        <w:rPr>
          <w:rStyle w:val="CommentReference"/>
        </w:rPr>
        <w:commentReference w:id="6"/>
      </w:r>
      <w:r w:rsidR="000E3BBD">
        <w:rPr>
          <w:rFonts w:ascii="Times New Roman" w:eastAsia="Times New Roman" w:hAnsi="Times New Roman" w:cs="Times New Roman"/>
          <w:b/>
          <w:color w:val="FF0000"/>
          <w:sz w:val="22"/>
          <w:shd w:val="clear" w:color="auto" w:fill="FFFFFF"/>
        </w:rPr>
        <w:t xml:space="preserve"> </w:t>
      </w:r>
      <w:r w:rsidR="006B66DA" w:rsidRPr="006B66DA">
        <w:rPr>
          <w:color w:val="31849B" w:themeColor="accent5" w:themeShade="BF"/>
        </w:rPr>
        <w:t>This is indicated by increases in glycolytic (</w:t>
      </w:r>
      <w:r w:rsidR="006B66DA" w:rsidRPr="006B66DA">
        <w:rPr>
          <w:i/>
          <w:color w:val="31849B" w:themeColor="accent5" w:themeShade="BF"/>
        </w:rPr>
        <w:t>HK3, FBP1, ALDOC, ENO1, IDH1, ME1 and DLAT)</w:t>
      </w:r>
      <w:r w:rsidR="006B66DA" w:rsidRPr="006B66DA">
        <w:rPr>
          <w:color w:val="31849B" w:themeColor="accent5" w:themeShade="BF"/>
        </w:rPr>
        <w:t xml:space="preserve">, </w:t>
      </w:r>
      <w:proofErr w:type="spellStart"/>
      <w:r w:rsidR="006B66DA" w:rsidRPr="006B66DA">
        <w:rPr>
          <w:color w:val="31849B" w:themeColor="accent5" w:themeShade="BF"/>
        </w:rPr>
        <w:t>proteolytic</w:t>
      </w:r>
      <w:proofErr w:type="spellEnd"/>
      <w:r w:rsidR="006B66DA" w:rsidRPr="006B66DA">
        <w:rPr>
          <w:color w:val="31849B" w:themeColor="accent5" w:themeShade="BF"/>
        </w:rPr>
        <w:t xml:space="preserve"> (PSMD1/12/14) and </w:t>
      </w:r>
      <w:proofErr w:type="spellStart"/>
      <w:r w:rsidR="006B66DA" w:rsidRPr="006B66DA">
        <w:rPr>
          <w:color w:val="31849B" w:themeColor="accent5" w:themeShade="BF"/>
        </w:rPr>
        <w:t>lipogenic</w:t>
      </w:r>
      <w:proofErr w:type="spellEnd"/>
      <w:r w:rsidR="006B66DA" w:rsidRPr="006B66DA">
        <w:rPr>
          <w:color w:val="31849B" w:themeColor="accent5" w:themeShade="BF"/>
        </w:rPr>
        <w:t xml:space="preserve"> (</w:t>
      </w:r>
      <w:r w:rsidR="006B66DA" w:rsidRPr="006B66DA">
        <w:rPr>
          <w:i/>
          <w:color w:val="31849B" w:themeColor="accent5" w:themeShade="BF"/>
        </w:rPr>
        <w:t>ACACA, FASN, AACSL4/5, ACSL1/3/4, ELOVL1/5/6, GPAM</w:t>
      </w:r>
      <w:r w:rsidR="006B66DA" w:rsidRPr="006B66DA">
        <w:rPr>
          <w:color w:val="31849B" w:themeColor="accent5" w:themeShade="BF"/>
        </w:rPr>
        <w:t xml:space="preserve">, </w:t>
      </w:r>
      <w:r w:rsidR="006B66DA" w:rsidRPr="006B66DA">
        <w:rPr>
          <w:i/>
          <w:color w:val="31849B" w:themeColor="accent5" w:themeShade="BF"/>
        </w:rPr>
        <w:t>DGAT2</w:t>
      </w:r>
      <w:r w:rsidR="006B66DA" w:rsidRPr="006B66DA">
        <w:rPr>
          <w:color w:val="31849B" w:themeColor="accent5" w:themeShade="BF"/>
        </w:rPr>
        <w:t xml:space="preserve">, </w:t>
      </w:r>
      <w:r w:rsidR="006B66DA" w:rsidRPr="006B66DA">
        <w:rPr>
          <w:i/>
          <w:color w:val="31849B" w:themeColor="accent5" w:themeShade="BF"/>
        </w:rPr>
        <w:t>DGAT1</w:t>
      </w:r>
      <w:r w:rsidR="006B66DA" w:rsidRPr="006B66DA">
        <w:rPr>
          <w:color w:val="31849B" w:themeColor="accent5" w:themeShade="BF"/>
        </w:rPr>
        <w:t xml:space="preserve">, </w:t>
      </w:r>
      <w:r w:rsidR="006B66DA" w:rsidRPr="006B66DA">
        <w:rPr>
          <w:i/>
          <w:color w:val="31849B" w:themeColor="accent5" w:themeShade="BF"/>
        </w:rPr>
        <w:t>AGPAT2/</w:t>
      </w:r>
      <w:proofErr w:type="gramStart"/>
      <w:r w:rsidR="006B66DA" w:rsidRPr="006B66DA">
        <w:rPr>
          <w:i/>
          <w:color w:val="31849B" w:themeColor="accent5" w:themeShade="BF"/>
        </w:rPr>
        <w:t>3 ,GPD1</w:t>
      </w:r>
      <w:proofErr w:type="gramEnd"/>
      <w:r w:rsidR="006B66DA" w:rsidRPr="006B66DA">
        <w:rPr>
          <w:i/>
          <w:color w:val="31849B" w:themeColor="accent5" w:themeShade="BF"/>
        </w:rPr>
        <w:t xml:space="preserve">, </w:t>
      </w:r>
      <w:r w:rsidR="006B66DA" w:rsidRPr="006B66DA">
        <w:rPr>
          <w:color w:val="31849B" w:themeColor="accent5" w:themeShade="BF"/>
        </w:rPr>
        <w:t xml:space="preserve">and </w:t>
      </w:r>
      <w:r w:rsidR="006B66DA" w:rsidRPr="006B66DA">
        <w:rPr>
          <w:i/>
          <w:color w:val="31849B" w:themeColor="accent5" w:themeShade="BF"/>
        </w:rPr>
        <w:t>LPIN1</w:t>
      </w:r>
      <w:r w:rsidR="006B66DA" w:rsidRPr="006B66DA">
        <w:rPr>
          <w:color w:val="31849B" w:themeColor="accent5" w:themeShade="BF"/>
        </w:rPr>
        <w:t>) transcripts in human adipose tissue, with similar transcript expression changes seen in mouse adipose and muscle tissue</w:t>
      </w:r>
      <w:r w:rsidR="006B66DA">
        <w:rPr>
          <w:color w:val="31849B" w:themeColor="accent5" w:themeShade="BF"/>
        </w:rPr>
        <w:t xml:space="preserve"> when treated with dexamethasone</w:t>
      </w:r>
      <w:r w:rsidR="006B66DA" w:rsidRPr="006B66DA">
        <w:rPr>
          <w:color w:val="31849B" w:themeColor="accent5" w:themeShade="BF"/>
        </w:rPr>
        <w:t xml:space="preserv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commentRangeStart w:id="7"/>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commentRangeEnd w:id="7"/>
      <w:r w:rsidR="0075433D">
        <w:rPr>
          <w:rStyle w:val="CommentReference"/>
        </w:rPr>
        <w:commentReference w:id="7"/>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73C3D893"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Another limitation in our study is the small sample size, especially the number of biological replicates in Cushing’s group (n=5). Adding a covariate such as BMI or age in the model further reduces the sample size to 2 or 3 replicates. Although this sample size is small, it is common and reasonable for a controlled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experiment, especially of a 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This method utilizes the available data to the maximum extent; therefore, help avoiding potential false positives (DESeq2 REF).</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1E58246C" w14:textId="3E9BDC56" w:rsidR="0075433D" w:rsidRPr="0075433D" w:rsidRDefault="0075433D" w:rsidP="0075433D">
      <w:pPr>
        <w:ind w:left="720"/>
        <w:rPr>
          <w:rFonts w:ascii="Times New Roman" w:eastAsia="Times New Roman" w:hAnsi="Times New Roman" w:cs="Times New Roman"/>
          <w:b/>
          <w:color w:val="FF0000"/>
          <w:sz w:val="22"/>
          <w:shd w:val="clear" w:color="auto" w:fill="FFFFFF"/>
        </w:rPr>
      </w:pPr>
      <w:commentRangeStart w:id="8"/>
      <w:r w:rsidRPr="0075433D">
        <w:rPr>
          <w:rFonts w:ascii="Times New Roman" w:eastAsia="Times New Roman" w:hAnsi="Times New Roman" w:cs="Times New Roman"/>
          <w:b/>
          <w:color w:val="FF0000"/>
          <w:sz w:val="22"/>
          <w:shd w:val="clear" w:color="auto" w:fill="FFFFFF"/>
        </w:rPr>
        <w:t xml:space="preserve">These findings are consistent with our observed elevations of </w:t>
      </w:r>
      <w:proofErr w:type="spellStart"/>
      <w:r w:rsidRPr="0075433D">
        <w:rPr>
          <w:rFonts w:ascii="Times New Roman" w:eastAsia="Times New Roman" w:hAnsi="Times New Roman" w:cs="Times New Roman"/>
          <w:b/>
          <w:color w:val="FF0000"/>
          <w:sz w:val="22"/>
          <w:shd w:val="clear" w:color="auto" w:fill="FFFFFF"/>
        </w:rPr>
        <w:t>lipogenesis</w:t>
      </w:r>
      <w:proofErr w:type="spellEnd"/>
      <w:r w:rsidRPr="0075433D">
        <w:rPr>
          <w:rFonts w:ascii="Times New Roman" w:eastAsia="Times New Roman" w:hAnsi="Times New Roman" w:cs="Times New Roman"/>
          <w:b/>
          <w:color w:val="FF0000"/>
          <w:sz w:val="22"/>
          <w:shd w:val="clear" w:color="auto" w:fill="FFFFFF"/>
        </w:rPr>
        <w:t xml:space="preserve"> genes</w:t>
      </w:r>
      <w:r w:rsidR="00C82C74">
        <w:rPr>
          <w:rFonts w:ascii="Times New Roman" w:eastAsia="Times New Roman" w:hAnsi="Times New Roman" w:cs="Times New Roman"/>
          <w:b/>
          <w:color w:val="FF0000"/>
          <w:sz w:val="22"/>
          <w:shd w:val="clear" w:color="auto" w:fill="FFFFFF"/>
        </w:rPr>
        <w:t xml:space="preserve"> </w:t>
      </w:r>
      <w:r w:rsidRPr="0075433D">
        <w:rPr>
          <w:rFonts w:ascii="Times New Roman" w:eastAsia="Times New Roman" w:hAnsi="Times New Roman" w:cs="Times New Roman"/>
          <w:b/>
          <w:color w:val="FF0000"/>
          <w:sz w:val="22"/>
          <w:shd w:val="clear" w:color="auto" w:fill="FFFFFF"/>
        </w:rPr>
        <w:t xml:space="preserve">in human and mouse subcutaneous adipose tissue.  In addition to a shift towards lipid storage, we also observed elevated expression of glycogen synthesis </w:t>
      </w:r>
      <w:proofErr w:type="gramStart"/>
      <w:r w:rsidRPr="0075433D">
        <w:rPr>
          <w:rFonts w:ascii="Times New Roman" w:eastAsia="Times New Roman" w:hAnsi="Times New Roman" w:cs="Times New Roman"/>
          <w:b/>
          <w:color w:val="FF0000"/>
          <w:sz w:val="22"/>
          <w:shd w:val="clear" w:color="auto" w:fill="FFFFFF"/>
        </w:rPr>
        <w:t>genes</w:t>
      </w:r>
      <w:r w:rsidR="00DB4D51">
        <w:rPr>
          <w:rFonts w:ascii="Times New Roman" w:eastAsia="Times New Roman" w:hAnsi="Times New Roman" w:cs="Times New Roman"/>
          <w:b/>
          <w:color w:val="FF0000"/>
          <w:sz w:val="22"/>
          <w:shd w:val="clear" w:color="auto" w:fill="FFFFFF"/>
        </w:rPr>
        <w:t xml:space="preserve"> </w:t>
      </w:r>
      <w:r w:rsidR="00FD491A">
        <w:t>,</w:t>
      </w:r>
      <w:proofErr w:type="gramEnd"/>
      <w:r w:rsidR="00FD491A">
        <w:t xml:space="preserve"> </w:t>
      </w:r>
      <w:r w:rsidR="00FD491A" w:rsidRPr="00FD491A">
        <w:rPr>
          <w:color w:val="31849B" w:themeColor="accent5" w:themeShade="BF"/>
        </w:rPr>
        <w:t xml:space="preserve">including </w:t>
      </w:r>
      <w:r w:rsidR="00FD491A" w:rsidRPr="00FD491A">
        <w:rPr>
          <w:i/>
          <w:color w:val="31849B" w:themeColor="accent5" w:themeShade="BF"/>
        </w:rPr>
        <w:t xml:space="preserve">GYS2, UGP2 </w:t>
      </w:r>
      <w:r w:rsidR="00FD491A" w:rsidRPr="00FD491A">
        <w:rPr>
          <w:iCs/>
          <w:color w:val="31849B" w:themeColor="accent5" w:themeShade="BF"/>
        </w:rPr>
        <w:t xml:space="preserve">and </w:t>
      </w:r>
      <w:r w:rsidR="00FD491A" w:rsidRPr="00FD491A">
        <w:rPr>
          <w:i/>
          <w:color w:val="31849B" w:themeColor="accent5" w:themeShade="BF"/>
        </w:rPr>
        <w:t>GBE1</w:t>
      </w:r>
      <w:r w:rsidR="00FD491A">
        <w:t xml:space="preserve"> </w:t>
      </w:r>
      <w:r w:rsidRPr="0075433D">
        <w:rPr>
          <w:rFonts w:ascii="Times New Roman" w:eastAsia="Times New Roman" w:hAnsi="Times New Roman" w:cs="Times New Roman"/>
          <w:b/>
          <w:color w:val="FF0000"/>
          <w:sz w:val="22"/>
          <w:shd w:val="clear" w:color="auto" w:fill="FFFFFF"/>
        </w:rPr>
        <w:t>in the Cushing's disease patients.</w:t>
      </w:r>
      <w:commentRangeEnd w:id="8"/>
      <w:r>
        <w:rPr>
          <w:rStyle w:val="CommentReference"/>
        </w:rPr>
        <w:commentReference w:id="8"/>
      </w:r>
    </w:p>
    <w:p w14:paraId="6FE1FFC3" w14:textId="1091B213"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4ECC91FA" w:rsidR="0075433D" w:rsidRPr="0075433D" w:rsidRDefault="0075433D" w:rsidP="005D3C08">
      <w:pPr>
        <w:rPr>
          <w:rFonts w:ascii="Times New Roman" w:eastAsia="Times New Roman" w:hAnsi="Times New Roman" w:cs="Times New Roman"/>
          <w:b/>
          <w:sz w:val="22"/>
        </w:rPr>
      </w:pPr>
      <w:commentRangeStart w:id="9"/>
      <w:r w:rsidRPr="0075433D">
        <w:rPr>
          <w:rFonts w:ascii="Times New Roman" w:eastAsia="Times New Roman" w:hAnsi="Times New Roman" w:cs="Times New Roman"/>
          <w:b/>
          <w:color w:val="212121"/>
          <w:sz w:val="22"/>
          <w:shd w:val="clear" w:color="auto" w:fill="FFFFFF"/>
        </w:rPr>
        <w:t>This description has now added to the methods section.</w:t>
      </w:r>
      <w:commentRangeEnd w:id="9"/>
      <w:r w:rsidR="00264E8B">
        <w:rPr>
          <w:rStyle w:val="CommentReference"/>
        </w:rPr>
        <w:commentReference w:id="9"/>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C82C74" w:rsidRDefault="00C82C74">
      <w:pPr>
        <w:pStyle w:val="CommentText"/>
      </w:pPr>
      <w:r>
        <w:rPr>
          <w:rStyle w:val="CommentReference"/>
        </w:rPr>
        <w:annotationRef/>
      </w:r>
      <w:r>
        <w:t>Innocence is going to answer this</w:t>
      </w:r>
    </w:p>
  </w:comment>
  <w:comment w:id="2" w:author="Quynh Tran" w:date="2015-04-25T20:50:00Z" w:initials="QT">
    <w:p w14:paraId="6FEE3622" w14:textId="77777777" w:rsidR="0071259A" w:rsidRDefault="0071259A" w:rsidP="0071259A">
      <w:pPr>
        <w:pStyle w:val="CommentText"/>
      </w:pPr>
      <w:r>
        <w:rPr>
          <w:rStyle w:val="CommentReference"/>
        </w:rPr>
        <w:annotationRef/>
      </w:r>
      <w:r>
        <w:t>Dave, I don’t think the reviewer wanted us to add age as a second covariate in the model, but to just have another model with age by itself and report it in the manuscript. So, like I explain here, we can only do this for the sub-cohort of 40-60 years old.  It’s up to you if you want to add this in the manuscript.</w:t>
      </w:r>
    </w:p>
    <w:p w14:paraId="70B1EF69" w14:textId="78E47876" w:rsidR="0071259A" w:rsidRDefault="0071259A">
      <w:pPr>
        <w:pStyle w:val="CommentText"/>
      </w:pPr>
      <w:bookmarkStart w:id="3" w:name="_GoBack"/>
      <w:bookmarkEnd w:id="3"/>
    </w:p>
  </w:comment>
  <w:comment w:id="1" w:author="Dave Bridges" w:date="2015-04-09T08:36:00Z" w:initials="DB">
    <w:p w14:paraId="7B46E698" w14:textId="01729554" w:rsidR="00C82C74" w:rsidRDefault="00C82C74">
      <w:pPr>
        <w:pStyle w:val="CommentText"/>
      </w:pPr>
      <w:r>
        <w:rPr>
          <w:rStyle w:val="CommentReference"/>
        </w:rPr>
        <w:annotationRef/>
      </w:r>
      <w:r>
        <w:t>Quynh will do this</w:t>
      </w:r>
    </w:p>
  </w:comment>
  <w:comment w:id="4" w:author="Dave Bridges" w:date="2015-04-09T11:31:00Z" w:initials="DB">
    <w:p w14:paraId="5045D5AD" w14:textId="331981E4" w:rsidR="00C82C74" w:rsidRDefault="00C82C74">
      <w:pPr>
        <w:pStyle w:val="CommentText"/>
      </w:pPr>
      <w:r>
        <w:rPr>
          <w:rStyle w:val="CommentReference"/>
        </w:rPr>
        <w:annotationRef/>
      </w:r>
      <w:r>
        <w:t>Quynh what is the precise definition of the first column</w:t>
      </w:r>
    </w:p>
  </w:comment>
  <w:comment w:id="5" w:author="Dave Bridges" w:date="2015-04-09T11:56:00Z" w:initials="DB">
    <w:p w14:paraId="534F0703" w14:textId="7B3688A2" w:rsidR="00C82C74" w:rsidRDefault="00C82C74">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6" w:author="Dave Bridges" w:date="2015-04-09T12:09:00Z" w:initials="DB">
    <w:p w14:paraId="3A9ECF81" w14:textId="712D7F36" w:rsidR="00C82C74" w:rsidRDefault="00C82C74">
      <w:pPr>
        <w:pStyle w:val="CommentText"/>
      </w:pPr>
      <w:r>
        <w:rPr>
          <w:rStyle w:val="CommentReference"/>
        </w:rPr>
        <w:annotationRef/>
      </w:r>
      <w:r>
        <w:t>Innocence please edit this section to add more detail.</w:t>
      </w:r>
    </w:p>
  </w:comment>
  <w:comment w:id="7" w:author="Dave Bridges" w:date="2015-04-09T12:11:00Z" w:initials="DB">
    <w:p w14:paraId="59E33E6A" w14:textId="52C6A073" w:rsidR="00C82C74" w:rsidRDefault="00C82C74">
      <w:pPr>
        <w:pStyle w:val="CommentText"/>
      </w:pPr>
      <w:r>
        <w:rPr>
          <w:rStyle w:val="CommentReference"/>
        </w:rPr>
        <w:annotationRef/>
      </w:r>
      <w:r>
        <w:t>Quynh please write this part</w:t>
      </w:r>
    </w:p>
  </w:comment>
  <w:comment w:id="8" w:author="Dave Bridges" w:date="2015-04-09T12:12:00Z" w:initials="DB">
    <w:p w14:paraId="03223174" w14:textId="2E134623" w:rsidR="00C82C74" w:rsidRDefault="00C82C74">
      <w:pPr>
        <w:pStyle w:val="CommentText"/>
      </w:pPr>
      <w:r>
        <w:rPr>
          <w:rStyle w:val="CommentReference"/>
        </w:rPr>
        <w:annotationRef/>
      </w:r>
      <w:r>
        <w:t>Innocence can you please add more depth to this statement.</w:t>
      </w:r>
    </w:p>
  </w:comment>
  <w:comment w:id="9" w:author="Dave Bridges" w:date="2015-04-09T12:15:00Z" w:initials="DB">
    <w:p w14:paraId="2F852376" w14:textId="33170837" w:rsidR="00C82C74" w:rsidRDefault="00C82C74">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E3BBD"/>
    <w:rsid w:val="00174FEB"/>
    <w:rsid w:val="0017641A"/>
    <w:rsid w:val="00264E8B"/>
    <w:rsid w:val="002734E4"/>
    <w:rsid w:val="002D344F"/>
    <w:rsid w:val="002D5D88"/>
    <w:rsid w:val="003619DC"/>
    <w:rsid w:val="00375F89"/>
    <w:rsid w:val="0048431B"/>
    <w:rsid w:val="004C715E"/>
    <w:rsid w:val="004E3631"/>
    <w:rsid w:val="005D3C08"/>
    <w:rsid w:val="00636E17"/>
    <w:rsid w:val="006B66DA"/>
    <w:rsid w:val="006F241D"/>
    <w:rsid w:val="006F24A7"/>
    <w:rsid w:val="0071259A"/>
    <w:rsid w:val="0075433D"/>
    <w:rsid w:val="007607CE"/>
    <w:rsid w:val="007B1A42"/>
    <w:rsid w:val="0081738C"/>
    <w:rsid w:val="008A2A23"/>
    <w:rsid w:val="009A6D8A"/>
    <w:rsid w:val="009E2CF0"/>
    <w:rsid w:val="00A12BCF"/>
    <w:rsid w:val="00A34EF3"/>
    <w:rsid w:val="00A63530"/>
    <w:rsid w:val="00A65526"/>
    <w:rsid w:val="00A91696"/>
    <w:rsid w:val="00AA205D"/>
    <w:rsid w:val="00C62E03"/>
    <w:rsid w:val="00C82C74"/>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chart" Target="charts/chart1.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39436776"/>
        <c:axId val="2039313432"/>
      </c:barChart>
      <c:catAx>
        <c:axId val="2039436776"/>
        <c:scaling>
          <c:orientation val="minMax"/>
        </c:scaling>
        <c:delete val="0"/>
        <c:axPos val="b"/>
        <c:majorTickMark val="out"/>
        <c:minorTickMark val="none"/>
        <c:tickLblPos val="nextTo"/>
        <c:crossAx val="2039313432"/>
        <c:crosses val="autoZero"/>
        <c:auto val="1"/>
        <c:lblAlgn val="ctr"/>
        <c:lblOffset val="100"/>
        <c:noMultiLvlLbl val="0"/>
      </c:catAx>
      <c:valAx>
        <c:axId val="2039313432"/>
        <c:scaling>
          <c:orientation val="minMax"/>
        </c:scaling>
        <c:delete val="0"/>
        <c:axPos val="l"/>
        <c:numFmt formatCode="General" sourceLinked="1"/>
        <c:majorTickMark val="out"/>
        <c:minorTickMark val="none"/>
        <c:tickLblPos val="nextTo"/>
        <c:crossAx val="203943677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6</Pages>
  <Words>2413</Words>
  <Characters>13758</Characters>
  <Application>Microsoft Macintosh Word</Application>
  <DocSecurity>0</DocSecurity>
  <Lines>114</Lines>
  <Paragraphs>32</Paragraphs>
  <ScaleCrop>false</ScaleCrop>
  <Company>UT-HSC</Company>
  <LinksUpToDate>false</LinksUpToDate>
  <CharactersWithSpaces>16139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Quynh Tran</cp:lastModifiedBy>
  <cp:revision>19</cp:revision>
  <dcterms:created xsi:type="dcterms:W3CDTF">2015-04-09T13:00:00Z</dcterms:created>
  <dcterms:modified xsi:type="dcterms:W3CDTF">2015-04-26T01:50:00Z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http://www.zotero.org/styles/plos-one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